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5E434" w14:textId="5ABA8E69" w:rsidR="00473135" w:rsidRPr="009765C7" w:rsidRDefault="006A1BCA" w:rsidP="00473135">
      <w:pPr>
        <w:rPr>
          <w:b/>
          <w:color w:val="365F91" w:themeColor="accent1" w:themeShade="BF"/>
          <w:lang w:val="en-US"/>
        </w:rPr>
      </w:pPr>
      <w:r w:rsidRPr="009765C7">
        <w:rPr>
          <w:b/>
          <w:color w:val="365F91" w:themeColor="accent1" w:themeShade="BF"/>
          <w:lang w:val="en-US"/>
        </w:rPr>
        <w:t>Application guidelines for ISN</w:t>
      </w:r>
      <w:r w:rsidRPr="009765C7">
        <w:rPr>
          <w:lang w:val="en-GB"/>
        </w:rPr>
        <w:t xml:space="preserve"> </w:t>
      </w:r>
      <w:r w:rsidR="00473135" w:rsidRPr="009765C7">
        <w:rPr>
          <w:b/>
          <w:color w:val="365F91" w:themeColor="accent1" w:themeShade="BF"/>
          <w:lang w:val="en-US"/>
        </w:rPr>
        <w:t>Career Development Grants (CDG)</w:t>
      </w:r>
    </w:p>
    <w:p w14:paraId="1E7D77A4" w14:textId="77777777" w:rsidR="006A1BCA" w:rsidRPr="009765C7" w:rsidRDefault="006A1BCA" w:rsidP="000F052A">
      <w:pPr>
        <w:rPr>
          <w:lang w:val="en-US"/>
        </w:rPr>
      </w:pPr>
    </w:p>
    <w:p w14:paraId="57709401" w14:textId="4D62710A" w:rsidR="000F052A" w:rsidRPr="009765C7" w:rsidRDefault="00F1231F" w:rsidP="000F052A">
      <w:pPr>
        <w:rPr>
          <w:lang w:val="en-US"/>
        </w:rPr>
      </w:pPr>
      <w:r w:rsidRPr="009765C7">
        <w:rPr>
          <w:lang w:val="en-US"/>
        </w:rPr>
        <w:t>This scheme provides funds for research supplies, small instrumentation or participation in scientific conferences</w:t>
      </w:r>
      <w:r w:rsidR="006A1BCA" w:rsidRPr="009765C7">
        <w:rPr>
          <w:lang w:val="en-US"/>
        </w:rPr>
        <w:t xml:space="preserve"> (max. 20% of the total grant) </w:t>
      </w:r>
      <w:r w:rsidRPr="009765C7">
        <w:rPr>
          <w:lang w:val="en-US"/>
        </w:rPr>
        <w:t xml:space="preserve">to </w:t>
      </w:r>
      <w:r w:rsidR="000F052A" w:rsidRPr="009765C7">
        <w:rPr>
          <w:lang w:val="en-US"/>
        </w:rPr>
        <w:t xml:space="preserve">support </w:t>
      </w:r>
      <w:r w:rsidRPr="009765C7">
        <w:rPr>
          <w:lang w:val="en-US"/>
        </w:rPr>
        <w:t xml:space="preserve">committed ISN members who are </w:t>
      </w:r>
      <w:r w:rsidR="000F052A" w:rsidRPr="009765C7">
        <w:rPr>
          <w:lang w:val="en-US"/>
        </w:rPr>
        <w:t xml:space="preserve">young investigators to establish </w:t>
      </w:r>
      <w:r w:rsidRPr="009765C7">
        <w:rPr>
          <w:lang w:val="en-US"/>
        </w:rPr>
        <w:t>themselves as</w:t>
      </w:r>
      <w:r w:rsidR="000F052A" w:rsidRPr="009765C7">
        <w:rPr>
          <w:lang w:val="en-US"/>
        </w:rPr>
        <w:t xml:space="preserve"> independent research</w:t>
      </w:r>
      <w:r w:rsidRPr="009765C7">
        <w:rPr>
          <w:lang w:val="en-US"/>
        </w:rPr>
        <w:t>ers</w:t>
      </w:r>
      <w:r w:rsidR="000F052A" w:rsidRPr="00033DE3">
        <w:rPr>
          <w:lang w:val="en-US"/>
        </w:rPr>
        <w:t xml:space="preserve">. </w:t>
      </w:r>
      <w:r w:rsidR="00276C9D" w:rsidRPr="00033DE3">
        <w:rPr>
          <w:lang w:val="en-US"/>
        </w:rPr>
        <w:t xml:space="preserve">ISN acknowledges national and regional differences on the way to </w:t>
      </w:r>
      <w:r w:rsidR="008F0ABC" w:rsidRPr="00033DE3">
        <w:rPr>
          <w:lang w:val="en-US"/>
        </w:rPr>
        <w:t xml:space="preserve">reach </w:t>
      </w:r>
      <w:r w:rsidR="00276C9D" w:rsidRPr="00033DE3">
        <w:rPr>
          <w:lang w:val="en-US"/>
        </w:rPr>
        <w:t xml:space="preserve">scientific independence. To reflect this and to provide equal opportunities to members from all </w:t>
      </w:r>
      <w:r w:rsidR="00B824F1" w:rsidRPr="00033DE3">
        <w:rPr>
          <w:lang w:val="en-US"/>
        </w:rPr>
        <w:t>regions</w:t>
      </w:r>
      <w:r w:rsidR="00276C9D" w:rsidRPr="00033DE3">
        <w:rPr>
          <w:lang w:val="en-US"/>
        </w:rPr>
        <w:t xml:space="preserve">, this funding scheme is open to scientists who </w:t>
      </w:r>
      <w:r w:rsidR="00A5041F">
        <w:rPr>
          <w:lang w:val="en-US"/>
        </w:rPr>
        <w:t>have very recently become independent researchers, or who have the demonstrated capacity to become independent.</w:t>
      </w:r>
      <w:r w:rsidR="008F0ABC">
        <w:rPr>
          <w:lang w:val="en-US"/>
        </w:rPr>
        <w:t xml:space="preserve"> </w:t>
      </w:r>
    </w:p>
    <w:p w14:paraId="14EAC089" w14:textId="77777777" w:rsidR="0091729E" w:rsidRPr="009765C7" w:rsidRDefault="0091729E" w:rsidP="000F052A">
      <w:pPr>
        <w:rPr>
          <w:lang w:val="en-US"/>
        </w:rPr>
      </w:pPr>
    </w:p>
    <w:p w14:paraId="0CE8F6E7" w14:textId="77777777" w:rsidR="0091729E" w:rsidRPr="009765C7" w:rsidRDefault="0091729E" w:rsidP="0091729E">
      <w:pPr>
        <w:rPr>
          <w:color w:val="365F91" w:themeColor="accent1" w:themeShade="BF"/>
          <w:lang w:val="en-US"/>
        </w:rPr>
      </w:pPr>
      <w:r w:rsidRPr="009765C7">
        <w:rPr>
          <w:color w:val="365F91" w:themeColor="accent1" w:themeShade="BF"/>
          <w:lang w:val="en-US"/>
        </w:rPr>
        <w:t xml:space="preserve">Project duration and grant volume: </w:t>
      </w:r>
    </w:p>
    <w:p w14:paraId="079F5805" w14:textId="77777777" w:rsidR="00566B0F" w:rsidRPr="00566B0F" w:rsidRDefault="00566B0F" w:rsidP="00566B0F">
      <w:pPr>
        <w:pStyle w:val="Listenabsatz"/>
        <w:numPr>
          <w:ilvl w:val="0"/>
          <w:numId w:val="7"/>
        </w:numPr>
        <w:rPr>
          <w:lang w:val="en-US"/>
        </w:rPr>
      </w:pPr>
      <w:r w:rsidRPr="00566B0F">
        <w:rPr>
          <w:lang w:val="en-US"/>
        </w:rPr>
        <w:t xml:space="preserve">The project can be developed in one or two years. </w:t>
      </w:r>
    </w:p>
    <w:p w14:paraId="6054B90F" w14:textId="77777777" w:rsidR="0091729E" w:rsidRPr="009765C7" w:rsidRDefault="0091729E" w:rsidP="0091729E">
      <w:pPr>
        <w:pStyle w:val="Listenabsatz"/>
        <w:numPr>
          <w:ilvl w:val="0"/>
          <w:numId w:val="7"/>
        </w:numPr>
        <w:rPr>
          <w:lang w:val="en-US"/>
        </w:rPr>
      </w:pPr>
      <w:r w:rsidRPr="009765C7">
        <w:rPr>
          <w:lang w:val="en-US"/>
        </w:rPr>
        <w:t xml:space="preserve">Up to USD 10,000 can be granted per successful CDG application, depending on the budget specifically aimed at the research project. </w:t>
      </w:r>
    </w:p>
    <w:p w14:paraId="64A63011" w14:textId="19CB2C02" w:rsidR="00742BA4" w:rsidRPr="009765C7" w:rsidRDefault="00742BA4" w:rsidP="0091729E">
      <w:pPr>
        <w:pStyle w:val="Listenabsatz"/>
        <w:numPr>
          <w:ilvl w:val="0"/>
          <w:numId w:val="7"/>
        </w:numPr>
        <w:rPr>
          <w:lang w:val="en-US"/>
        </w:rPr>
      </w:pPr>
      <w:r w:rsidRPr="009765C7">
        <w:rPr>
          <w:lang w:val="en-US"/>
        </w:rPr>
        <w:t xml:space="preserve">Grants can be spent on </w:t>
      </w:r>
      <w:r w:rsidR="00210F44" w:rsidRPr="009765C7">
        <w:rPr>
          <w:lang w:val="en-US"/>
        </w:rPr>
        <w:t xml:space="preserve">lab </w:t>
      </w:r>
      <w:r w:rsidRPr="009765C7">
        <w:rPr>
          <w:lang w:val="en-US"/>
        </w:rPr>
        <w:t>equipment</w:t>
      </w:r>
      <w:r w:rsidR="00210F44" w:rsidRPr="009765C7">
        <w:rPr>
          <w:lang w:val="en-US"/>
        </w:rPr>
        <w:t>, but also on other project-related items like consumables,</w:t>
      </w:r>
      <w:r w:rsidR="009D53DE" w:rsidRPr="009765C7">
        <w:rPr>
          <w:lang w:val="en-US"/>
        </w:rPr>
        <w:t xml:space="preserve"> </w:t>
      </w:r>
      <w:r w:rsidR="00323654" w:rsidRPr="00323654">
        <w:rPr>
          <w:lang w:val="en-US"/>
        </w:rPr>
        <w:t>accessing facilities</w:t>
      </w:r>
      <w:r w:rsidR="009D53DE" w:rsidRPr="009765C7">
        <w:rPr>
          <w:lang w:val="en-US"/>
        </w:rPr>
        <w:t xml:space="preserve">, </w:t>
      </w:r>
      <w:r w:rsidR="005322FD" w:rsidRPr="009765C7">
        <w:rPr>
          <w:lang w:val="en-US"/>
        </w:rPr>
        <w:t xml:space="preserve">or </w:t>
      </w:r>
      <w:r w:rsidR="009D53DE" w:rsidRPr="009765C7">
        <w:rPr>
          <w:lang w:val="en-US"/>
        </w:rPr>
        <w:t>animal</w:t>
      </w:r>
      <w:r w:rsidR="005322FD" w:rsidRPr="009765C7">
        <w:rPr>
          <w:lang w:val="en-US"/>
        </w:rPr>
        <w:t xml:space="preserve"> housing costs</w:t>
      </w:r>
      <w:r w:rsidR="009D53DE" w:rsidRPr="009765C7">
        <w:rPr>
          <w:lang w:val="en-US"/>
        </w:rPr>
        <w:t>.</w:t>
      </w:r>
      <w:r w:rsidR="00210F44" w:rsidRPr="009765C7">
        <w:rPr>
          <w:lang w:val="en-US"/>
        </w:rPr>
        <w:t xml:space="preserve"> </w:t>
      </w:r>
    </w:p>
    <w:p w14:paraId="786DE566" w14:textId="4F554E42" w:rsidR="00323654" w:rsidRPr="00323654" w:rsidRDefault="00323654" w:rsidP="00323654">
      <w:pPr>
        <w:pStyle w:val="Listenabsatz"/>
        <w:numPr>
          <w:ilvl w:val="0"/>
          <w:numId w:val="7"/>
        </w:numPr>
        <w:rPr>
          <w:lang w:val="en-US"/>
        </w:rPr>
      </w:pPr>
      <w:r w:rsidRPr="00323654">
        <w:rPr>
          <w:lang w:val="en-US"/>
        </w:rPr>
        <w:t>A maximum of 20% of the total funds granted can be</w:t>
      </w:r>
      <w:r w:rsidR="00061960">
        <w:rPr>
          <w:lang w:val="en-US"/>
        </w:rPr>
        <w:t xml:space="preserve"> used to cover costs </w:t>
      </w:r>
      <w:r w:rsidRPr="00323654">
        <w:rPr>
          <w:lang w:val="en-US"/>
        </w:rPr>
        <w:t>to attend an ISN-related event, such as the biennial meeting, ISN-sponsored conferences, symposia or satellite meetings and sister society (APSN, ASN, ESN) meetings</w:t>
      </w:r>
      <w:r w:rsidR="0001434D">
        <w:rPr>
          <w:lang w:val="en-US"/>
        </w:rPr>
        <w:t xml:space="preserve">, provided that no other funding has been obtained from ISN or the Sister Society for the same purpose. </w:t>
      </w:r>
      <w:r w:rsidRPr="00323654">
        <w:rPr>
          <w:lang w:val="en-US"/>
        </w:rPr>
        <w:t xml:space="preserve"> </w:t>
      </w:r>
      <w:r w:rsidR="0001434D">
        <w:rPr>
          <w:lang w:val="en-US"/>
        </w:rPr>
        <w:t xml:space="preserve">Funds are </w:t>
      </w:r>
      <w:r w:rsidRPr="00323654">
        <w:rPr>
          <w:lang w:val="en-US"/>
        </w:rPr>
        <w:t>not</w:t>
      </w:r>
      <w:r w:rsidR="0001434D">
        <w:rPr>
          <w:lang w:val="en-US"/>
        </w:rPr>
        <w:t xml:space="preserve"> to be used </w:t>
      </w:r>
      <w:r w:rsidRPr="00323654">
        <w:rPr>
          <w:lang w:val="en-US"/>
        </w:rPr>
        <w:t>for meetings/conferences/workshops that are not related to ISN.</w:t>
      </w:r>
    </w:p>
    <w:p w14:paraId="3C486C56" w14:textId="77777777" w:rsidR="00336711" w:rsidRPr="009765C7" w:rsidRDefault="00336711" w:rsidP="0091729E">
      <w:pPr>
        <w:rPr>
          <w:color w:val="365F91" w:themeColor="accent1" w:themeShade="BF"/>
          <w:lang w:val="en-US"/>
        </w:rPr>
      </w:pPr>
    </w:p>
    <w:p w14:paraId="4635A9C1" w14:textId="35669AAB" w:rsidR="0091729E" w:rsidRPr="00666BEF" w:rsidRDefault="0091729E" w:rsidP="0091729E">
      <w:pPr>
        <w:rPr>
          <w:color w:val="365F91" w:themeColor="accent1" w:themeShade="BF"/>
          <w:lang w:val="en-US"/>
        </w:rPr>
      </w:pPr>
      <w:r w:rsidRPr="00666BEF">
        <w:rPr>
          <w:color w:val="365F91" w:themeColor="accent1" w:themeShade="BF"/>
          <w:lang w:val="en-US"/>
        </w:rPr>
        <w:t>Eligib</w:t>
      </w:r>
      <w:r w:rsidR="00AC2545" w:rsidRPr="00666BEF">
        <w:rPr>
          <w:color w:val="365F91" w:themeColor="accent1" w:themeShade="BF"/>
          <w:lang w:val="en-US"/>
        </w:rPr>
        <w:t>ility criteria</w:t>
      </w:r>
      <w:r w:rsidRPr="00666BEF">
        <w:rPr>
          <w:color w:val="365F91" w:themeColor="accent1" w:themeShade="BF"/>
          <w:lang w:val="en-US"/>
        </w:rPr>
        <w:t>:</w:t>
      </w:r>
    </w:p>
    <w:p w14:paraId="13BE3871" w14:textId="18686B51" w:rsidR="0091729E" w:rsidRPr="00666BEF" w:rsidRDefault="0091729E" w:rsidP="00666BEF">
      <w:pPr>
        <w:pStyle w:val="Listenabsatz"/>
        <w:numPr>
          <w:ilvl w:val="0"/>
          <w:numId w:val="14"/>
        </w:numPr>
        <w:rPr>
          <w:lang w:val="en-US"/>
        </w:rPr>
      </w:pPr>
      <w:r w:rsidRPr="00666BEF">
        <w:rPr>
          <w:lang w:val="en-US"/>
        </w:rPr>
        <w:t>Only committed advanced ISN Postdoc Members (</w:t>
      </w:r>
      <w:r w:rsidR="00033DE3" w:rsidRPr="00666BEF">
        <w:rPr>
          <w:lang w:val="en-US"/>
        </w:rPr>
        <w:t xml:space="preserve">with a </w:t>
      </w:r>
      <w:r w:rsidRPr="00666BEF">
        <w:rPr>
          <w:lang w:val="en-US"/>
        </w:rPr>
        <w:t>minimum 3 years</w:t>
      </w:r>
      <w:r w:rsidR="00CD1A3D">
        <w:rPr>
          <w:lang w:val="en-US"/>
        </w:rPr>
        <w:t>’</w:t>
      </w:r>
      <w:r w:rsidRPr="00666BEF">
        <w:rPr>
          <w:lang w:val="en-US"/>
        </w:rPr>
        <w:t xml:space="preserve"> experience as postdoctoral fellow) and Full Members (up to 10 years after the year the doctoral degree was awarded) are eligible to apply.</w:t>
      </w:r>
      <w:r w:rsidR="009C4F6E" w:rsidRPr="00666BEF">
        <w:rPr>
          <w:lang w:val="en-US"/>
        </w:rPr>
        <w:t xml:space="preserve"> Allowance may be made for career breaks.</w:t>
      </w:r>
      <w:r w:rsidR="00061960" w:rsidRPr="00666BEF">
        <w:rPr>
          <w:lang w:val="en-US"/>
        </w:rPr>
        <w:t xml:space="preserve"> Reasons, durations and consequences of career interruptions for the applicant must be given in the application form</w:t>
      </w:r>
      <w:r w:rsidR="0001434D" w:rsidRPr="00666BEF">
        <w:rPr>
          <w:lang w:val="en-US"/>
        </w:rPr>
        <w:t xml:space="preserve"> and supporting documentation attached, where appropriate</w:t>
      </w:r>
      <w:r w:rsidR="00061960" w:rsidRPr="00666BEF">
        <w:rPr>
          <w:lang w:val="en-US"/>
        </w:rPr>
        <w:t>.</w:t>
      </w:r>
    </w:p>
    <w:p w14:paraId="03880D0A" w14:textId="77777777" w:rsidR="0091729E" w:rsidRPr="009765C7" w:rsidRDefault="0091729E" w:rsidP="0091729E">
      <w:pPr>
        <w:pStyle w:val="Listenabsatz"/>
        <w:numPr>
          <w:ilvl w:val="0"/>
          <w:numId w:val="6"/>
        </w:numPr>
        <w:rPr>
          <w:lang w:val="en-US"/>
        </w:rPr>
      </w:pPr>
      <w:r w:rsidRPr="009765C7">
        <w:rPr>
          <w:lang w:val="en-US"/>
        </w:rPr>
        <w:t xml:space="preserve">The applicant </w:t>
      </w:r>
      <w:r w:rsidR="00DC3904" w:rsidRPr="009765C7">
        <w:rPr>
          <w:lang w:val="en-US"/>
        </w:rPr>
        <w:t>must</w:t>
      </w:r>
      <w:r w:rsidRPr="009765C7">
        <w:rPr>
          <w:lang w:val="en-US"/>
        </w:rPr>
        <w:t xml:space="preserve"> be an active ISN member </w:t>
      </w:r>
      <w:r w:rsidRPr="009765C7">
        <w:rPr>
          <w:bCs/>
          <w:lang w:val="en-US"/>
        </w:rPr>
        <w:t>continuously for at least 4 years (48 months) at the deadline of a given application round</w:t>
      </w:r>
      <w:r w:rsidRPr="009765C7">
        <w:rPr>
          <w:lang w:val="en-US"/>
        </w:rPr>
        <w:t xml:space="preserve">. In addition, funds can only be transferred, if the successful applicant is also an active member in the year(s) when the project will be carried out. </w:t>
      </w:r>
    </w:p>
    <w:p w14:paraId="1568DEC6" w14:textId="264285C9" w:rsidR="0091729E" w:rsidRPr="009765C7" w:rsidRDefault="0001434D" w:rsidP="0091729E">
      <w:pPr>
        <w:pStyle w:val="Listenabsatz"/>
        <w:numPr>
          <w:ilvl w:val="0"/>
          <w:numId w:val="6"/>
        </w:numPr>
        <w:rPr>
          <w:lang w:val="en-US"/>
        </w:rPr>
      </w:pPr>
      <w:r>
        <w:rPr>
          <w:lang w:val="en-US"/>
        </w:rPr>
        <w:t>M</w:t>
      </w:r>
      <w:r w:rsidRPr="009765C7">
        <w:rPr>
          <w:lang w:val="en-US"/>
        </w:rPr>
        <w:t xml:space="preserve">embers </w:t>
      </w:r>
      <w:r w:rsidR="0091729E" w:rsidRPr="009765C7">
        <w:rPr>
          <w:lang w:val="en-US"/>
        </w:rPr>
        <w:t xml:space="preserve">who have not continuously renewed their ISN membership each year (as indicated by open membership </w:t>
      </w:r>
      <w:r w:rsidR="00DC3904" w:rsidRPr="009765C7">
        <w:rPr>
          <w:lang w:val="en-US"/>
        </w:rPr>
        <w:t xml:space="preserve">dues </w:t>
      </w:r>
      <w:r w:rsidR="0091729E" w:rsidRPr="009765C7">
        <w:rPr>
          <w:lang w:val="en-US"/>
        </w:rPr>
        <w:t>for previous years or periods of delayed payment that were connected with periods of inactive ISN membership)</w:t>
      </w:r>
      <w:r>
        <w:rPr>
          <w:lang w:val="en-US"/>
        </w:rPr>
        <w:t xml:space="preserve"> are excluded from applying</w:t>
      </w:r>
      <w:r w:rsidR="0091729E" w:rsidRPr="009765C7">
        <w:rPr>
          <w:lang w:val="en-US"/>
        </w:rPr>
        <w:t xml:space="preserve">. </w:t>
      </w:r>
      <w:r>
        <w:rPr>
          <w:lang w:val="en-US"/>
        </w:rPr>
        <w:t xml:space="preserve">Note that payment of back membership fees does not restore active membership. </w:t>
      </w:r>
    </w:p>
    <w:p w14:paraId="33B46756" w14:textId="39C34412" w:rsidR="00FB118D" w:rsidRPr="00040A8B" w:rsidRDefault="00276C9D" w:rsidP="00040A8B">
      <w:pPr>
        <w:pStyle w:val="Listenabsatz"/>
        <w:numPr>
          <w:ilvl w:val="0"/>
          <w:numId w:val="6"/>
        </w:numPr>
        <w:rPr>
          <w:lang w:val="en-US"/>
        </w:rPr>
      </w:pPr>
      <w:r w:rsidRPr="00EE5977">
        <w:rPr>
          <w:lang w:val="en-US"/>
        </w:rPr>
        <w:t>A</w:t>
      </w:r>
      <w:r w:rsidR="0091729E" w:rsidRPr="00EE5977">
        <w:rPr>
          <w:lang w:val="en-US"/>
        </w:rPr>
        <w:t xml:space="preserve">pplicants should provide </w:t>
      </w:r>
      <w:r w:rsidR="00455FFE" w:rsidRPr="00EE5977">
        <w:rPr>
          <w:lang w:val="en-US"/>
        </w:rPr>
        <w:t xml:space="preserve">a statement detailing evidence of their </w:t>
      </w:r>
      <w:r w:rsidR="0091729E" w:rsidRPr="00EE5977">
        <w:rPr>
          <w:lang w:val="en-US"/>
        </w:rPr>
        <w:t>independence</w:t>
      </w:r>
      <w:r w:rsidR="00C46095" w:rsidRPr="00EE5977">
        <w:rPr>
          <w:lang w:val="en-US"/>
        </w:rPr>
        <w:t xml:space="preserve"> or </w:t>
      </w:r>
      <w:r w:rsidR="00033DE3" w:rsidRPr="00EE5977">
        <w:rPr>
          <w:lang w:val="en-US"/>
        </w:rPr>
        <w:t>evidence supporting their capacity to become independent researchers</w:t>
      </w:r>
      <w:r w:rsidR="0091729E" w:rsidRPr="00EE5977">
        <w:rPr>
          <w:lang w:val="en-US"/>
        </w:rPr>
        <w:t>, signed by the Department chair of the applicant.</w:t>
      </w:r>
    </w:p>
    <w:p w14:paraId="533A3CB7" w14:textId="655E73DD" w:rsidR="00336711" w:rsidRPr="009765C7" w:rsidRDefault="00FB118D" w:rsidP="006B5A86">
      <w:pPr>
        <w:pStyle w:val="Listenabsatz"/>
        <w:numPr>
          <w:ilvl w:val="0"/>
          <w:numId w:val="6"/>
        </w:numPr>
        <w:rPr>
          <w:lang w:val="en-US"/>
        </w:rPr>
      </w:pPr>
      <w:r w:rsidRPr="00FB118D">
        <w:rPr>
          <w:lang w:val="en-US"/>
        </w:rPr>
        <w:t xml:space="preserve"> </w:t>
      </w:r>
      <w:r w:rsidR="00336711" w:rsidRPr="009765C7">
        <w:rPr>
          <w:lang w:val="en-US"/>
        </w:rPr>
        <w:t xml:space="preserve">A successful applicant is not eligible to apply for a second project supported by CDG. </w:t>
      </w:r>
    </w:p>
    <w:p w14:paraId="5C22CAC2" w14:textId="77777777" w:rsidR="0091729E" w:rsidRPr="009765C7" w:rsidRDefault="0091729E" w:rsidP="00516BC8">
      <w:pPr>
        <w:pStyle w:val="Listenabsatz"/>
        <w:rPr>
          <w:lang w:val="en-US"/>
        </w:rPr>
      </w:pPr>
    </w:p>
    <w:p w14:paraId="3D1EDA0D" w14:textId="77777777" w:rsidR="009765C7" w:rsidRPr="009765C7" w:rsidRDefault="009765C7" w:rsidP="009765C7">
      <w:pPr>
        <w:rPr>
          <w:color w:val="365F91" w:themeColor="accent1" w:themeShade="BF"/>
          <w:lang w:val="en-US"/>
        </w:rPr>
      </w:pPr>
      <w:r w:rsidRPr="009765C7">
        <w:rPr>
          <w:color w:val="365F91" w:themeColor="accent1" w:themeShade="BF"/>
          <w:lang w:val="en-US"/>
        </w:rPr>
        <w:lastRenderedPageBreak/>
        <w:t>Payments and reporting requirements:</w:t>
      </w:r>
    </w:p>
    <w:p w14:paraId="1868A2E1" w14:textId="2A6FE979" w:rsidR="00323654" w:rsidRPr="00323654" w:rsidRDefault="00323654" w:rsidP="00323654">
      <w:pPr>
        <w:numPr>
          <w:ilvl w:val="0"/>
          <w:numId w:val="11"/>
        </w:numPr>
        <w:rPr>
          <w:rFonts w:eastAsia="Times New Roman" w:cs="Times New Roman"/>
          <w:color w:val="000000"/>
          <w:lang w:val="en-US" w:eastAsia="pt-BR"/>
        </w:rPr>
      </w:pPr>
      <w:r w:rsidRPr="00323654">
        <w:rPr>
          <w:rFonts w:eastAsia="Times New Roman" w:cs="Times New Roman"/>
          <w:color w:val="000000"/>
          <w:lang w:val="en-US" w:eastAsia="pt-BR"/>
        </w:rPr>
        <w:t>80% of the amount granted will be transferred to a bank account of the applicant’s institution</w:t>
      </w:r>
      <w:r w:rsidR="0001434D">
        <w:rPr>
          <w:rFonts w:eastAsia="Times New Roman" w:cs="Times New Roman"/>
          <w:color w:val="000000"/>
          <w:lang w:val="en-US" w:eastAsia="pt-BR"/>
        </w:rPr>
        <w:t>. That institution must the same as the institution named in the recommendation letter.</w:t>
      </w:r>
      <w:r w:rsidR="00C10640">
        <w:rPr>
          <w:rFonts w:eastAsia="Times New Roman" w:cs="Times New Roman"/>
          <w:color w:val="000000"/>
          <w:lang w:val="en-US" w:eastAsia="pt-BR"/>
        </w:rPr>
        <w:t xml:space="preserve"> </w:t>
      </w:r>
      <w:r w:rsidRPr="00323654">
        <w:rPr>
          <w:rFonts w:eastAsia="Times New Roman" w:cs="Times New Roman"/>
          <w:color w:val="000000"/>
          <w:lang w:val="en-US" w:eastAsia="pt-BR"/>
        </w:rPr>
        <w:t>Transfer to any private or individual bank account is not possible.</w:t>
      </w:r>
    </w:p>
    <w:p w14:paraId="013D4585" w14:textId="160B294E" w:rsidR="00323654" w:rsidRPr="00323654" w:rsidRDefault="00323654" w:rsidP="00323654">
      <w:pPr>
        <w:numPr>
          <w:ilvl w:val="0"/>
          <w:numId w:val="12"/>
        </w:numPr>
        <w:rPr>
          <w:rFonts w:eastAsia="Times New Roman" w:cs="Times New Roman"/>
          <w:color w:val="000000"/>
          <w:lang w:val="en-US" w:eastAsia="pt-BR"/>
        </w:rPr>
      </w:pPr>
      <w:r w:rsidRPr="00323654">
        <w:rPr>
          <w:rFonts w:eastAsia="Times New Roman" w:cs="Times New Roman"/>
          <w:color w:val="000000"/>
          <w:lang w:val="en-US" w:eastAsia="pt-BR"/>
        </w:rPr>
        <w:t>The remaining 20% will be released after the full research and financial report has been submitted by the applicant and is approved by ISN.</w:t>
      </w:r>
    </w:p>
    <w:p w14:paraId="26A0A023" w14:textId="77777777" w:rsidR="00323654" w:rsidRPr="006B5A86" w:rsidRDefault="00323654" w:rsidP="00323654">
      <w:pPr>
        <w:numPr>
          <w:ilvl w:val="0"/>
          <w:numId w:val="12"/>
        </w:numPr>
        <w:rPr>
          <w:rFonts w:eastAsia="Times New Roman" w:cs="Times New Roman"/>
          <w:color w:val="000000"/>
          <w:lang w:val="en-US" w:eastAsia="pt-BR"/>
        </w:rPr>
      </w:pPr>
      <w:r w:rsidRPr="00323654">
        <w:rPr>
          <w:rFonts w:eastAsia="Times New Roman" w:cs="Times New Roman"/>
          <w:color w:val="000000"/>
          <w:lang w:val="en-US" w:eastAsia="pt-BR"/>
        </w:rPr>
        <w:t xml:space="preserve">The Institution must agree that no indirect costs/overheads will be </w:t>
      </w:r>
      <w:r w:rsidRPr="006B5A86">
        <w:rPr>
          <w:rFonts w:eastAsia="Times New Roman" w:cs="Times New Roman"/>
          <w:color w:val="000000"/>
          <w:lang w:val="en-US" w:eastAsia="pt-BR"/>
        </w:rPr>
        <w:t>charged.</w:t>
      </w:r>
    </w:p>
    <w:p w14:paraId="11D32BFA" w14:textId="78E9BAEB" w:rsidR="00FF1C30" w:rsidRPr="006B5A86" w:rsidRDefault="00FF1C30" w:rsidP="00323654">
      <w:pPr>
        <w:numPr>
          <w:ilvl w:val="0"/>
          <w:numId w:val="12"/>
        </w:numPr>
        <w:rPr>
          <w:rFonts w:eastAsia="Times New Roman" w:cs="Times New Roman"/>
          <w:color w:val="000000"/>
          <w:lang w:val="en-US" w:eastAsia="pt-BR"/>
        </w:rPr>
      </w:pPr>
      <w:r w:rsidRPr="006B5A86">
        <w:rPr>
          <w:rFonts w:eastAsia="Times New Roman" w:cs="Times New Roman"/>
          <w:color w:val="000000"/>
          <w:lang w:val="en-US" w:eastAsia="pt-BR"/>
        </w:rPr>
        <w:t xml:space="preserve">ISN expects that applicants secure additional funding from their home institution or from other funding bodies, however, </w:t>
      </w:r>
      <w:r w:rsidR="009F1293" w:rsidRPr="006B5A86">
        <w:rPr>
          <w:rFonts w:eastAsia="Times New Roman" w:cs="Times New Roman"/>
          <w:color w:val="000000"/>
          <w:lang w:val="en-US" w:eastAsia="pt-BR"/>
        </w:rPr>
        <w:t xml:space="preserve">redundant </w:t>
      </w:r>
      <w:r w:rsidRPr="006B5A86">
        <w:rPr>
          <w:rFonts w:eastAsia="Times New Roman" w:cs="Times New Roman"/>
          <w:color w:val="000000"/>
          <w:lang w:val="en-US" w:eastAsia="pt-BR"/>
        </w:rPr>
        <w:t>funding is not allowed.</w:t>
      </w:r>
      <w:r w:rsidR="00033DE3" w:rsidRPr="006B5A86">
        <w:rPr>
          <w:rFonts w:eastAsia="Times New Roman" w:cs="Times New Roman"/>
          <w:color w:val="000000"/>
          <w:lang w:val="en-US" w:eastAsia="pt-BR"/>
        </w:rPr>
        <w:t xml:space="preserve"> </w:t>
      </w:r>
      <w:r w:rsidR="00982F28" w:rsidRPr="006B5A86">
        <w:rPr>
          <w:rFonts w:eastAsia="Times New Roman" w:cs="Times New Roman"/>
          <w:color w:val="000000"/>
          <w:lang w:val="en-US" w:eastAsia="pt-BR"/>
        </w:rPr>
        <w:t xml:space="preserve">How ISN and other funding is </w:t>
      </w:r>
      <w:r w:rsidR="00CD1A3D" w:rsidRPr="006B5A86">
        <w:rPr>
          <w:rFonts w:eastAsia="Times New Roman" w:cs="Times New Roman"/>
          <w:color w:val="000000"/>
          <w:lang w:val="en-US" w:eastAsia="pt-BR"/>
        </w:rPr>
        <w:t xml:space="preserve">planned </w:t>
      </w:r>
      <w:r w:rsidR="00982F28" w:rsidRPr="006B5A86">
        <w:rPr>
          <w:rFonts w:eastAsia="Times New Roman" w:cs="Times New Roman"/>
          <w:color w:val="000000"/>
          <w:lang w:val="en-US" w:eastAsia="pt-BR"/>
        </w:rPr>
        <w:t xml:space="preserve">to be expended </w:t>
      </w:r>
      <w:r w:rsidR="00033DE3" w:rsidRPr="006B5A86">
        <w:rPr>
          <w:rFonts w:eastAsia="Times New Roman" w:cs="Times New Roman"/>
          <w:color w:val="000000"/>
          <w:lang w:val="en-US" w:eastAsia="pt-BR"/>
        </w:rPr>
        <w:t>should be detailed in the budget.</w:t>
      </w:r>
    </w:p>
    <w:p w14:paraId="7B2C279E" w14:textId="77777777" w:rsidR="00323654" w:rsidRPr="00323654" w:rsidRDefault="00323654" w:rsidP="00323654">
      <w:pPr>
        <w:numPr>
          <w:ilvl w:val="0"/>
          <w:numId w:val="13"/>
        </w:numPr>
        <w:rPr>
          <w:rFonts w:eastAsia="Times New Roman" w:cs="Times New Roman"/>
          <w:color w:val="000000"/>
          <w:lang w:val="en-US" w:eastAsia="pt-BR"/>
        </w:rPr>
      </w:pPr>
      <w:r w:rsidRPr="00323654">
        <w:rPr>
          <w:rFonts w:eastAsia="Times New Roman" w:cs="Times New Roman"/>
          <w:color w:val="000000"/>
          <w:lang w:val="en-US" w:eastAsia="pt-BR"/>
        </w:rPr>
        <w:t>A detailed written report (including a financial report) is required to be submitted by the successful applicant within two months after the completion of the project.</w:t>
      </w:r>
    </w:p>
    <w:p w14:paraId="67F8D9FC" w14:textId="77777777" w:rsidR="00323654" w:rsidRPr="00323654" w:rsidRDefault="00323654" w:rsidP="00323654">
      <w:pPr>
        <w:numPr>
          <w:ilvl w:val="0"/>
          <w:numId w:val="13"/>
        </w:numPr>
        <w:rPr>
          <w:rFonts w:eastAsia="Times New Roman" w:cs="Times New Roman"/>
          <w:color w:val="000000"/>
          <w:lang w:val="en-US" w:eastAsia="pt-BR"/>
        </w:rPr>
      </w:pPr>
      <w:r w:rsidRPr="00323654">
        <w:rPr>
          <w:rFonts w:eastAsia="Times New Roman" w:cs="Times New Roman"/>
          <w:color w:val="000000"/>
          <w:lang w:val="en-US" w:eastAsia="pt-BR"/>
        </w:rPr>
        <w:t>The supported ISN member is expected to acknowledge ISN support and briefly inform audiences about ISN and about the benefits of an ISN membership when presenting data at seminars and/or scientific meetings.</w:t>
      </w:r>
    </w:p>
    <w:p w14:paraId="50CF8B43" w14:textId="77777777" w:rsidR="00323654" w:rsidRPr="00323654" w:rsidRDefault="00323654" w:rsidP="00323654">
      <w:pPr>
        <w:numPr>
          <w:ilvl w:val="0"/>
          <w:numId w:val="13"/>
        </w:numPr>
        <w:rPr>
          <w:rFonts w:eastAsia="Times New Roman" w:cs="Times New Roman"/>
          <w:color w:val="000000"/>
          <w:lang w:val="en-US" w:eastAsia="pt-BR"/>
        </w:rPr>
      </w:pPr>
      <w:r w:rsidRPr="00323654">
        <w:rPr>
          <w:rFonts w:eastAsia="Times New Roman" w:cs="Times New Roman"/>
          <w:color w:val="000000"/>
          <w:lang w:val="en-US" w:eastAsia="pt-BR"/>
        </w:rPr>
        <w:t>The supported ISN member is encouraged to present data at ISN-related events (ISN biennial meetings, sister societies’ meetings, small conferences that are supported by ISN-CC).</w:t>
      </w:r>
    </w:p>
    <w:p w14:paraId="788E9BD0" w14:textId="77777777" w:rsidR="009765C7" w:rsidRPr="009765C7" w:rsidRDefault="009765C7" w:rsidP="00AC2545">
      <w:pPr>
        <w:ind w:left="360"/>
        <w:rPr>
          <w:color w:val="365F91" w:themeColor="accent1" w:themeShade="BF"/>
          <w:lang w:val="en-US"/>
        </w:rPr>
      </w:pPr>
    </w:p>
    <w:p w14:paraId="2DF79A06" w14:textId="4CD0926F" w:rsidR="00AC2545" w:rsidRPr="009765C7" w:rsidRDefault="00AC2545" w:rsidP="00AC2545">
      <w:pPr>
        <w:ind w:left="360"/>
        <w:rPr>
          <w:color w:val="365F91" w:themeColor="accent1" w:themeShade="BF"/>
          <w:lang w:val="en-US"/>
        </w:rPr>
      </w:pPr>
      <w:r w:rsidRPr="009765C7">
        <w:rPr>
          <w:color w:val="365F91" w:themeColor="accent1" w:themeShade="BF"/>
          <w:lang w:val="en-US"/>
        </w:rPr>
        <w:t>Application:</w:t>
      </w:r>
    </w:p>
    <w:p w14:paraId="0EDC958D" w14:textId="776C540A" w:rsidR="00AC2545" w:rsidRDefault="00AC2545" w:rsidP="00AC2545">
      <w:pPr>
        <w:pStyle w:val="Listenabsatz"/>
        <w:numPr>
          <w:ilvl w:val="0"/>
          <w:numId w:val="4"/>
        </w:numPr>
        <w:rPr>
          <w:lang w:val="en-US"/>
        </w:rPr>
      </w:pPr>
      <w:r w:rsidRPr="009765C7">
        <w:rPr>
          <w:lang w:val="en-US"/>
        </w:rPr>
        <w:t xml:space="preserve">Application deadline is </w:t>
      </w:r>
      <w:r w:rsidRPr="009765C7">
        <w:rPr>
          <w:b/>
          <w:lang w:val="en-US"/>
        </w:rPr>
        <w:t>October 31</w:t>
      </w:r>
      <w:r w:rsidRPr="009765C7">
        <w:rPr>
          <w:lang w:val="en-US"/>
        </w:rPr>
        <w:t xml:space="preserve"> for proposals starting the year after. </w:t>
      </w:r>
    </w:p>
    <w:p w14:paraId="11E0F693" w14:textId="77777777" w:rsidR="0014276A" w:rsidRPr="009765C7" w:rsidRDefault="0014276A" w:rsidP="0014276A">
      <w:pPr>
        <w:pStyle w:val="Listenabsatz"/>
        <w:rPr>
          <w:lang w:val="en-US"/>
        </w:rPr>
      </w:pPr>
    </w:p>
    <w:p w14:paraId="3F61ECA2" w14:textId="77777777" w:rsidR="00AC2545" w:rsidRPr="009765C7" w:rsidRDefault="00AC2545" w:rsidP="00AC2545">
      <w:pPr>
        <w:pStyle w:val="Listenabsatz"/>
        <w:numPr>
          <w:ilvl w:val="0"/>
          <w:numId w:val="4"/>
        </w:numPr>
        <w:rPr>
          <w:lang w:val="en-US"/>
        </w:rPr>
      </w:pPr>
      <w:r w:rsidRPr="009765C7">
        <w:rPr>
          <w:lang w:val="en-US"/>
        </w:rPr>
        <w:t>Application criteria are</w:t>
      </w:r>
    </w:p>
    <w:p w14:paraId="2ABFD559" w14:textId="17703C35" w:rsidR="00AC2545" w:rsidRPr="009765C7" w:rsidRDefault="00AC2545" w:rsidP="00AC2545">
      <w:pPr>
        <w:pStyle w:val="Listenabsatz"/>
        <w:numPr>
          <w:ilvl w:val="1"/>
          <w:numId w:val="4"/>
        </w:numPr>
        <w:rPr>
          <w:lang w:val="en-US"/>
        </w:rPr>
      </w:pPr>
      <w:r w:rsidRPr="009765C7">
        <w:rPr>
          <w:lang w:val="en-US"/>
        </w:rPr>
        <w:t xml:space="preserve">eligibility of </w:t>
      </w:r>
      <w:r w:rsidR="00BC1EE1">
        <w:rPr>
          <w:lang w:val="en-US"/>
        </w:rPr>
        <w:t xml:space="preserve">the </w:t>
      </w:r>
      <w:r w:rsidRPr="009765C7">
        <w:rPr>
          <w:lang w:val="en-US"/>
        </w:rPr>
        <w:t>candidate (see above)</w:t>
      </w:r>
    </w:p>
    <w:p w14:paraId="1C6890A6" w14:textId="7E603173" w:rsidR="00AC2545" w:rsidRDefault="00AC2545" w:rsidP="00AC2545">
      <w:pPr>
        <w:pStyle w:val="Listenabsatz"/>
        <w:numPr>
          <w:ilvl w:val="1"/>
          <w:numId w:val="4"/>
        </w:numPr>
        <w:rPr>
          <w:lang w:val="en-US"/>
        </w:rPr>
      </w:pPr>
      <w:r w:rsidRPr="009765C7">
        <w:rPr>
          <w:lang w:val="en-US"/>
        </w:rPr>
        <w:t xml:space="preserve">scientific quality of the applicant and the project </w:t>
      </w:r>
    </w:p>
    <w:p w14:paraId="406ED84A" w14:textId="77777777" w:rsidR="0014276A" w:rsidRPr="009765C7" w:rsidRDefault="0014276A" w:rsidP="0014276A">
      <w:pPr>
        <w:pStyle w:val="Listenabsatz"/>
        <w:ind w:left="1440"/>
        <w:rPr>
          <w:lang w:val="en-US"/>
        </w:rPr>
      </w:pPr>
    </w:p>
    <w:p w14:paraId="033308EF" w14:textId="351B5A94" w:rsidR="009765C7" w:rsidRPr="009765C7" w:rsidRDefault="009765C7" w:rsidP="009765C7">
      <w:pPr>
        <w:pStyle w:val="Listenabsatz"/>
        <w:numPr>
          <w:ilvl w:val="0"/>
          <w:numId w:val="4"/>
        </w:numPr>
        <w:rPr>
          <w:lang w:val="en-US"/>
        </w:rPr>
      </w:pPr>
      <w:r w:rsidRPr="009765C7">
        <w:rPr>
          <w:bCs/>
          <w:lang w:val="en-US"/>
        </w:rPr>
        <w:t xml:space="preserve">Applications include </w:t>
      </w:r>
      <w:r w:rsidR="009F1293">
        <w:rPr>
          <w:bCs/>
          <w:lang w:val="en-US"/>
        </w:rPr>
        <w:t>two</w:t>
      </w:r>
      <w:r w:rsidR="00982F28">
        <w:rPr>
          <w:bCs/>
          <w:lang w:val="en-US"/>
        </w:rPr>
        <w:t xml:space="preserve"> </w:t>
      </w:r>
      <w:r w:rsidRPr="009765C7">
        <w:rPr>
          <w:bCs/>
          <w:lang w:val="en-US"/>
        </w:rPr>
        <w:t>documents to be submitted as a single PDF:</w:t>
      </w:r>
    </w:p>
    <w:p w14:paraId="57EA6076" w14:textId="19EFC4C2" w:rsidR="009765C7" w:rsidRPr="009765C7" w:rsidRDefault="00BC1EE1" w:rsidP="009765C7">
      <w:pPr>
        <w:pStyle w:val="Listenabsatz"/>
        <w:numPr>
          <w:ilvl w:val="0"/>
          <w:numId w:val="9"/>
        </w:numPr>
        <w:rPr>
          <w:lang w:val="en-US"/>
        </w:rPr>
      </w:pPr>
      <w:r>
        <w:rPr>
          <w:bCs/>
          <w:lang w:val="en-US"/>
        </w:rPr>
        <w:t>Completed and signed a</w:t>
      </w:r>
      <w:r w:rsidR="009765C7" w:rsidRPr="009765C7">
        <w:rPr>
          <w:bCs/>
          <w:lang w:val="en-US"/>
        </w:rPr>
        <w:t>pplication form with</w:t>
      </w:r>
    </w:p>
    <w:p w14:paraId="55836C14" w14:textId="77777777" w:rsidR="009765C7" w:rsidRPr="009765C7" w:rsidRDefault="009765C7" w:rsidP="009765C7">
      <w:pPr>
        <w:pStyle w:val="Listenabsatz"/>
        <w:numPr>
          <w:ilvl w:val="1"/>
          <w:numId w:val="10"/>
        </w:numPr>
        <w:ind w:left="1843"/>
        <w:rPr>
          <w:lang w:val="en-US"/>
        </w:rPr>
      </w:pPr>
      <w:r w:rsidRPr="009765C7">
        <w:rPr>
          <w:bCs/>
          <w:lang w:val="en-US"/>
        </w:rPr>
        <w:t>career information of the applicant with a publication list and list of previous awards including previous ISN funding</w:t>
      </w:r>
    </w:p>
    <w:p w14:paraId="0C2D795E" w14:textId="77777777" w:rsidR="009765C7" w:rsidRPr="009765C7" w:rsidRDefault="009765C7" w:rsidP="009765C7">
      <w:pPr>
        <w:pStyle w:val="Listenabsatz"/>
        <w:numPr>
          <w:ilvl w:val="1"/>
          <w:numId w:val="10"/>
        </w:numPr>
        <w:ind w:left="1843"/>
        <w:rPr>
          <w:lang w:val="en-US"/>
        </w:rPr>
      </w:pPr>
      <w:r w:rsidRPr="009765C7">
        <w:rPr>
          <w:bCs/>
          <w:lang w:val="en-US"/>
        </w:rPr>
        <w:t xml:space="preserve">a project description (3 pages max.), </w:t>
      </w:r>
    </w:p>
    <w:p w14:paraId="4795C4B1" w14:textId="5DE2DD43" w:rsidR="009765C7" w:rsidRPr="009765C7" w:rsidRDefault="009765C7" w:rsidP="009765C7">
      <w:pPr>
        <w:pStyle w:val="Listenabsatz"/>
        <w:numPr>
          <w:ilvl w:val="1"/>
          <w:numId w:val="10"/>
        </w:numPr>
        <w:ind w:left="1843"/>
        <w:rPr>
          <w:lang w:val="en-US"/>
        </w:rPr>
      </w:pPr>
      <w:r w:rsidRPr="009765C7">
        <w:rPr>
          <w:bCs/>
          <w:lang w:val="en-US"/>
        </w:rPr>
        <w:t xml:space="preserve">a budget calculation for the project, </w:t>
      </w:r>
      <w:r w:rsidRPr="009765C7">
        <w:rPr>
          <w:rFonts w:eastAsia="Times New Roman" w:cs="Times New Roman"/>
          <w:color w:val="000000"/>
          <w:lang w:val="en-US" w:eastAsia="pt-BR"/>
        </w:rPr>
        <w:t xml:space="preserve">including information on other external funds made available/requested for the same purpose, including those requested from local sources. </w:t>
      </w:r>
    </w:p>
    <w:p w14:paraId="6079C21B" w14:textId="1D34376F" w:rsidR="00FB118D" w:rsidRPr="00FB118D" w:rsidRDefault="0014276A" w:rsidP="00FB118D">
      <w:pPr>
        <w:pStyle w:val="Listenabsatz"/>
        <w:numPr>
          <w:ilvl w:val="0"/>
          <w:numId w:val="9"/>
        </w:numPr>
        <w:rPr>
          <w:bCs/>
          <w:lang w:val="en-US"/>
        </w:rPr>
      </w:pPr>
      <w:r w:rsidRPr="00FB118D">
        <w:rPr>
          <w:bCs/>
          <w:lang w:val="en-US"/>
        </w:rPr>
        <w:t xml:space="preserve">a letter </w:t>
      </w:r>
      <w:r w:rsidR="00FB118D">
        <w:rPr>
          <w:bCs/>
          <w:lang w:val="en-US"/>
        </w:rPr>
        <w:t xml:space="preserve">signed by the department chair </w:t>
      </w:r>
      <w:r w:rsidRPr="00FB118D">
        <w:rPr>
          <w:bCs/>
          <w:lang w:val="en-US"/>
        </w:rPr>
        <w:t xml:space="preserve">confirming the applicant’s </w:t>
      </w:r>
      <w:r w:rsidR="00A44D35" w:rsidRPr="00982F28">
        <w:rPr>
          <w:bCs/>
          <w:lang w:val="en-US"/>
        </w:rPr>
        <w:t xml:space="preserve">career status and </w:t>
      </w:r>
      <w:r w:rsidR="00323654" w:rsidRPr="00FB118D">
        <w:rPr>
          <w:bCs/>
          <w:lang w:val="en-US"/>
        </w:rPr>
        <w:t xml:space="preserve">research </w:t>
      </w:r>
      <w:r w:rsidRPr="00FB118D">
        <w:rPr>
          <w:bCs/>
          <w:lang w:val="en-US"/>
        </w:rPr>
        <w:t>independence</w:t>
      </w:r>
      <w:r w:rsidR="00FB118D" w:rsidRPr="00FB118D">
        <w:rPr>
          <w:bCs/>
          <w:lang w:val="en-US"/>
        </w:rPr>
        <w:t xml:space="preserve"> and agree</w:t>
      </w:r>
      <w:r w:rsidR="00FB118D">
        <w:rPr>
          <w:bCs/>
          <w:lang w:val="en-US"/>
        </w:rPr>
        <w:t>ment</w:t>
      </w:r>
      <w:r w:rsidR="00FB118D" w:rsidRPr="00FB118D">
        <w:rPr>
          <w:bCs/>
          <w:lang w:val="en-US"/>
        </w:rPr>
        <w:t xml:space="preserve"> that no indirect costs/overheads will be charged</w:t>
      </w:r>
      <w:r w:rsidR="00FB118D">
        <w:rPr>
          <w:bCs/>
          <w:lang w:val="en-US"/>
        </w:rPr>
        <w:t xml:space="preserve"> by the institution</w:t>
      </w:r>
      <w:r w:rsidR="00FB118D" w:rsidRPr="00FB118D">
        <w:rPr>
          <w:bCs/>
          <w:lang w:val="en-US"/>
        </w:rPr>
        <w:t>.</w:t>
      </w:r>
    </w:p>
    <w:p w14:paraId="620C5526" w14:textId="25BF4088" w:rsidR="009765C7" w:rsidRPr="0014276A" w:rsidRDefault="009765C7" w:rsidP="00982F28">
      <w:pPr>
        <w:pStyle w:val="Listenabsatz"/>
        <w:ind w:left="1440"/>
        <w:rPr>
          <w:lang w:val="en-US"/>
        </w:rPr>
      </w:pPr>
    </w:p>
    <w:p w14:paraId="28298038" w14:textId="77777777" w:rsidR="0014276A" w:rsidRPr="009765C7" w:rsidRDefault="0014276A" w:rsidP="0014276A">
      <w:pPr>
        <w:pStyle w:val="Listenabsatz"/>
        <w:ind w:left="1440"/>
        <w:rPr>
          <w:lang w:val="en-US"/>
        </w:rPr>
      </w:pPr>
    </w:p>
    <w:p w14:paraId="0E2B7437" w14:textId="4F0C1EE3" w:rsidR="009765C7" w:rsidRPr="009765C7" w:rsidRDefault="009765C7" w:rsidP="009765C7">
      <w:pPr>
        <w:pStyle w:val="Listenabsatz"/>
        <w:numPr>
          <w:ilvl w:val="0"/>
          <w:numId w:val="4"/>
        </w:numPr>
        <w:rPr>
          <w:lang w:val="en-US"/>
        </w:rPr>
      </w:pPr>
      <w:r w:rsidRPr="009765C7">
        <w:rPr>
          <w:bCs/>
          <w:lang w:val="en-US"/>
        </w:rPr>
        <w:t xml:space="preserve">Applications </w:t>
      </w:r>
      <w:r w:rsidRPr="009765C7">
        <w:rPr>
          <w:lang w:val="en-US"/>
        </w:rPr>
        <w:t xml:space="preserve">should be sent as a </w:t>
      </w:r>
      <w:r w:rsidRPr="009765C7">
        <w:rPr>
          <w:b/>
          <w:lang w:val="en-US"/>
        </w:rPr>
        <w:t>single PDF</w:t>
      </w:r>
      <w:r w:rsidRPr="009765C7">
        <w:rPr>
          <w:lang w:val="en-US"/>
        </w:rPr>
        <w:t xml:space="preserve"> named </w:t>
      </w:r>
      <w:r w:rsidRPr="009765C7">
        <w:rPr>
          <w:b/>
          <w:lang w:val="en-US"/>
        </w:rPr>
        <w:sym w:font="Symbol" w:char="F05B"/>
      </w:r>
      <w:proofErr w:type="spellStart"/>
      <w:r w:rsidRPr="009765C7">
        <w:rPr>
          <w:b/>
          <w:lang w:val="en-US"/>
        </w:rPr>
        <w:t>lastname</w:t>
      </w:r>
      <w:proofErr w:type="spellEnd"/>
      <w:r w:rsidRPr="009765C7">
        <w:rPr>
          <w:b/>
          <w:lang w:val="en-US"/>
        </w:rPr>
        <w:sym w:font="Symbol" w:char="F05D"/>
      </w:r>
      <w:r w:rsidRPr="009765C7">
        <w:rPr>
          <w:b/>
          <w:lang w:val="en-US"/>
        </w:rPr>
        <w:t>_CD</w:t>
      </w:r>
      <w:r w:rsidR="006D439B">
        <w:rPr>
          <w:b/>
          <w:lang w:val="en-US"/>
        </w:rPr>
        <w:t>G</w:t>
      </w:r>
      <w:bookmarkStart w:id="0" w:name="_GoBack"/>
      <w:bookmarkEnd w:id="0"/>
      <w:r w:rsidRPr="009765C7">
        <w:rPr>
          <w:b/>
          <w:lang w:val="en-US"/>
        </w:rPr>
        <w:t>_</w:t>
      </w:r>
      <w:r w:rsidRPr="009765C7">
        <w:rPr>
          <w:b/>
          <w:lang w:val="en-US"/>
        </w:rPr>
        <w:sym w:font="Symbol" w:char="F05B"/>
      </w:r>
      <w:r w:rsidRPr="009765C7">
        <w:rPr>
          <w:b/>
          <w:lang w:val="en-US"/>
        </w:rPr>
        <w:t>year</w:t>
      </w:r>
      <w:r w:rsidRPr="009765C7">
        <w:rPr>
          <w:b/>
          <w:lang w:val="en-US"/>
        </w:rPr>
        <w:sym w:font="Symbol" w:char="F05D"/>
      </w:r>
      <w:r w:rsidRPr="009765C7">
        <w:rPr>
          <w:b/>
          <w:lang w:val="en-US"/>
        </w:rPr>
        <w:t>.pdf</w:t>
      </w:r>
      <w:r w:rsidRPr="009765C7">
        <w:rPr>
          <w:lang w:val="en-US"/>
        </w:rPr>
        <w:t xml:space="preserve"> to the Career Development committee Chair. </w:t>
      </w:r>
    </w:p>
    <w:p w14:paraId="1870EE7F" w14:textId="77777777" w:rsidR="0091729E" w:rsidRPr="00742BA4" w:rsidRDefault="0091729E" w:rsidP="0091729E">
      <w:pPr>
        <w:rPr>
          <w:lang w:val="en-US"/>
        </w:rPr>
      </w:pPr>
    </w:p>
    <w:p w14:paraId="7E2F5F58" w14:textId="77777777" w:rsidR="0091729E" w:rsidRPr="00742BA4" w:rsidRDefault="0091729E" w:rsidP="00FC7217">
      <w:pPr>
        <w:rPr>
          <w:lang w:val="en-US"/>
        </w:rPr>
      </w:pPr>
    </w:p>
    <w:p w14:paraId="7DB85DD2" w14:textId="77777777" w:rsidR="005D0D54" w:rsidRPr="00742BA4" w:rsidRDefault="005D0D54">
      <w:pPr>
        <w:rPr>
          <w:lang w:val="en-US"/>
        </w:rPr>
      </w:pPr>
    </w:p>
    <w:sectPr w:rsidR="005D0D54" w:rsidRPr="00742BA4" w:rsidSect="000968A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47F464" w16cex:dateUtc="2021-05-13T21:54:00Z"/>
  <w16cex:commentExtensible w16cex:durableId="2447F4C5" w16cex:dateUtc="2021-05-13T21:56:00Z"/>
  <w16cex:commentExtensible w16cex:durableId="2447F524" w16cex:dateUtc="2021-05-13T21:57:00Z"/>
  <w16cex:commentExtensible w16cex:durableId="2447F9E8" w16cex:dateUtc="2021-05-13T22:18:00Z"/>
  <w16cex:commentExtensible w16cex:durableId="2447F751" w16cex:dateUtc="2021-05-13T22:0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E41FE"/>
    <w:multiLevelType w:val="multilevel"/>
    <w:tmpl w:val="D13C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857B92"/>
    <w:multiLevelType w:val="hybridMultilevel"/>
    <w:tmpl w:val="E12E2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04DA3"/>
    <w:multiLevelType w:val="multilevel"/>
    <w:tmpl w:val="4EC0A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45D34"/>
    <w:multiLevelType w:val="multilevel"/>
    <w:tmpl w:val="9FE0D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6D96DD8"/>
    <w:multiLevelType w:val="hybridMultilevel"/>
    <w:tmpl w:val="ACB42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DF4D0D"/>
    <w:multiLevelType w:val="hybridMultilevel"/>
    <w:tmpl w:val="626EAF2E"/>
    <w:lvl w:ilvl="0" w:tplc="0407000F">
      <w:start w:val="1"/>
      <w:numFmt w:val="decimal"/>
      <w:lvlText w:val="%1.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42805C9"/>
    <w:multiLevelType w:val="hybridMultilevel"/>
    <w:tmpl w:val="3B08F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1D2D95"/>
    <w:multiLevelType w:val="hybridMultilevel"/>
    <w:tmpl w:val="E8F6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85825"/>
    <w:multiLevelType w:val="hybridMultilevel"/>
    <w:tmpl w:val="A6B2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F71941"/>
    <w:multiLevelType w:val="hybridMultilevel"/>
    <w:tmpl w:val="20DE3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506EFA"/>
    <w:multiLevelType w:val="hybridMultilevel"/>
    <w:tmpl w:val="66E0F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4E7BC4"/>
    <w:multiLevelType w:val="hybridMultilevel"/>
    <w:tmpl w:val="DEF02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C033C9"/>
    <w:multiLevelType w:val="hybridMultilevel"/>
    <w:tmpl w:val="C2EC6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ED0148"/>
    <w:multiLevelType w:val="hybridMultilevel"/>
    <w:tmpl w:val="91643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12"/>
  </w:num>
  <w:num w:numId="5">
    <w:abstractNumId w:val="13"/>
  </w:num>
  <w:num w:numId="6">
    <w:abstractNumId w:val="11"/>
  </w:num>
  <w:num w:numId="7">
    <w:abstractNumId w:val="1"/>
  </w:num>
  <w:num w:numId="8">
    <w:abstractNumId w:val="6"/>
  </w:num>
  <w:num w:numId="9">
    <w:abstractNumId w:val="5"/>
  </w:num>
  <w:num w:numId="10">
    <w:abstractNumId w:val="7"/>
  </w:num>
  <w:num w:numId="11">
    <w:abstractNumId w:val="2"/>
  </w:num>
  <w:num w:numId="12">
    <w:abstractNumId w:val="0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430"/>
    <w:rsid w:val="0001434D"/>
    <w:rsid w:val="00033DE3"/>
    <w:rsid w:val="00040A8B"/>
    <w:rsid w:val="00061960"/>
    <w:rsid w:val="00076968"/>
    <w:rsid w:val="00086D6F"/>
    <w:rsid w:val="000968AF"/>
    <w:rsid w:val="000A1CA4"/>
    <w:rsid w:val="000F052A"/>
    <w:rsid w:val="00117D00"/>
    <w:rsid w:val="0014276A"/>
    <w:rsid w:val="001A1E6F"/>
    <w:rsid w:val="00210F44"/>
    <w:rsid w:val="002374C5"/>
    <w:rsid w:val="00276C9D"/>
    <w:rsid w:val="002E44F1"/>
    <w:rsid w:val="002F031D"/>
    <w:rsid w:val="0030092B"/>
    <w:rsid w:val="0032016C"/>
    <w:rsid w:val="00323654"/>
    <w:rsid w:val="00336711"/>
    <w:rsid w:val="0035628A"/>
    <w:rsid w:val="00394E6A"/>
    <w:rsid w:val="003A2976"/>
    <w:rsid w:val="003A5318"/>
    <w:rsid w:val="003F057E"/>
    <w:rsid w:val="0042607F"/>
    <w:rsid w:val="00447C0E"/>
    <w:rsid w:val="00455FFE"/>
    <w:rsid w:val="00473135"/>
    <w:rsid w:val="00476CB6"/>
    <w:rsid w:val="00516BC8"/>
    <w:rsid w:val="005322FD"/>
    <w:rsid w:val="0053540B"/>
    <w:rsid w:val="00566B0F"/>
    <w:rsid w:val="005D0D54"/>
    <w:rsid w:val="005E455E"/>
    <w:rsid w:val="00666BEF"/>
    <w:rsid w:val="00674DE9"/>
    <w:rsid w:val="006A1BCA"/>
    <w:rsid w:val="006B5A86"/>
    <w:rsid w:val="006D439B"/>
    <w:rsid w:val="006F613C"/>
    <w:rsid w:val="00742BA4"/>
    <w:rsid w:val="00793430"/>
    <w:rsid w:val="007D3777"/>
    <w:rsid w:val="007F1F71"/>
    <w:rsid w:val="0083443E"/>
    <w:rsid w:val="00836039"/>
    <w:rsid w:val="00844F31"/>
    <w:rsid w:val="008476B7"/>
    <w:rsid w:val="008903C9"/>
    <w:rsid w:val="008F0ABC"/>
    <w:rsid w:val="0091729E"/>
    <w:rsid w:val="00971552"/>
    <w:rsid w:val="00975FF1"/>
    <w:rsid w:val="009765C7"/>
    <w:rsid w:val="00982F28"/>
    <w:rsid w:val="009C02DE"/>
    <w:rsid w:val="009C246D"/>
    <w:rsid w:val="009C4F6E"/>
    <w:rsid w:val="009D44E3"/>
    <w:rsid w:val="009D53DE"/>
    <w:rsid w:val="009F1293"/>
    <w:rsid w:val="00A44D35"/>
    <w:rsid w:val="00A5041F"/>
    <w:rsid w:val="00AA50B6"/>
    <w:rsid w:val="00AC2545"/>
    <w:rsid w:val="00B148FE"/>
    <w:rsid w:val="00B824F1"/>
    <w:rsid w:val="00BC1EE1"/>
    <w:rsid w:val="00BF16BC"/>
    <w:rsid w:val="00C10640"/>
    <w:rsid w:val="00C46095"/>
    <w:rsid w:val="00CD1A3D"/>
    <w:rsid w:val="00D91F64"/>
    <w:rsid w:val="00DC3904"/>
    <w:rsid w:val="00E10FE1"/>
    <w:rsid w:val="00E87961"/>
    <w:rsid w:val="00EA6EB5"/>
    <w:rsid w:val="00EE5977"/>
    <w:rsid w:val="00F1231F"/>
    <w:rsid w:val="00F6143B"/>
    <w:rsid w:val="00F6244A"/>
    <w:rsid w:val="00F8574E"/>
    <w:rsid w:val="00F92261"/>
    <w:rsid w:val="00FB118D"/>
    <w:rsid w:val="00FC7217"/>
    <w:rsid w:val="00FD056D"/>
    <w:rsid w:val="00FF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F66D86"/>
  <w14:defaultImageDpi w14:val="300"/>
  <w15:docId w15:val="{53F87465-4610-3A44-AA41-C2B18D54E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A5318"/>
    <w:pPr>
      <w:ind w:left="720"/>
      <w:contextualSpacing/>
    </w:pPr>
  </w:style>
  <w:style w:type="paragraph" w:customStyle="1" w:styleId="Default">
    <w:name w:val="Default"/>
    <w:rsid w:val="000F052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C24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C246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7155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7155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7155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7155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71552"/>
    <w:rPr>
      <w:b/>
      <w:bCs/>
      <w:sz w:val="20"/>
      <w:szCs w:val="20"/>
    </w:rPr>
  </w:style>
  <w:style w:type="character" w:customStyle="1" w:styleId="apple-converted-space">
    <w:name w:val="apple-converted-space"/>
    <w:basedOn w:val="Absatz-Standardschriftart"/>
    <w:rsid w:val="005322FD"/>
  </w:style>
  <w:style w:type="character" w:styleId="Fett">
    <w:name w:val="Strong"/>
    <w:basedOn w:val="Absatz-Standardschriftart"/>
    <w:uiPriority w:val="22"/>
    <w:qFormat/>
    <w:rsid w:val="005322FD"/>
    <w:rPr>
      <w:b/>
      <w:bCs/>
    </w:rPr>
  </w:style>
  <w:style w:type="table" w:styleId="Tabellenraster">
    <w:name w:val="Table Grid"/>
    <w:basedOn w:val="NormaleTabelle"/>
    <w:uiPriority w:val="59"/>
    <w:rsid w:val="00FC7217"/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E4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0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694</Words>
  <Characters>4379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LIN</Company>
  <LinksUpToDate>false</LinksUpToDate>
  <CharactersWithSpaces>5063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Constanze Seidenbecher</dc:creator>
  <cp:lastModifiedBy>Constanze</cp:lastModifiedBy>
  <cp:revision>4</cp:revision>
  <dcterms:created xsi:type="dcterms:W3CDTF">2021-09-16T13:07:00Z</dcterms:created>
  <dcterms:modified xsi:type="dcterms:W3CDTF">2021-09-16T16:18:00Z</dcterms:modified>
</cp:coreProperties>
</file>